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02C57"/>
          <w:sz w:val="44"/>
        </w:rPr>
        <w:t>SOUMIK DAS</w:t>
      </w:r>
    </w:p>
    <w:p>
      <w:pPr>
        <w:spacing w:after="80"/>
        <w:jc w:val="center"/>
      </w:pPr>
      <w:r>
        <w:rPr>
          <w:rFonts w:ascii="Arial" w:hAnsi="Arial"/>
          <w:b/>
          <w:color w:val="505050"/>
          <w:sz w:val="22"/>
        </w:rPr>
        <w:t>Senior Software Architect – Cloud Native Architecture | Legacy System Modernization Specialist</w:t>
      </w:r>
    </w:p>
    <w:p>
      <w:pPr>
        <w:spacing w:after="240"/>
        <w:jc w:val="center"/>
      </w:pPr>
      <w:r>
        <w:rPr>
          <w:rFonts w:ascii="Arial" w:hAnsi="Arial"/>
          <w:color w:val="505050"/>
          <w:sz w:val="19"/>
        </w:rPr>
        <w:t>Dallas, TX  |  904-440-8774  |  soumikdw@gmail.com  |  linkedin.com/in/soumikdas22</w:t>
      </w:r>
    </w:p>
    <w:p>
      <w:pPr>
        <w:keepNext/>
        <w:spacing w:before="280" w:after="120"/>
        <w:pBdr>
          <w:bottom w:val="single" w:sz="12" w:space="4" w:color="102C57"/>
        </w:pBdr>
      </w:pPr>
      <w:r>
        <w:rPr>
          <w:rFonts w:ascii="Arial" w:hAnsi="Arial"/>
          <w:b/>
          <w:color w:val="102C57"/>
          <w:sz w:val="24"/>
        </w:rPr>
        <w:t>PROFESSIONAL SUMMARY</w:t>
      </w:r>
    </w:p>
    <w:p>
      <w:pPr>
        <w:spacing w:after="160"/>
      </w:pPr>
      <w:r>
        <w:t>Enterprise-tier IT Architect with over 20 years of experience spearheading cloud-native migrations, complex greenfield transformations, and technical governance across large-scale financial, retail, and media industries. Global Semifinalist in O'Reilly's Worldwide Architecture Kata (Winter 2025). Proven expert in bridge-building architectures that safely decouple high-risk, legacy core environments (Mainframe, COBOL, VSAM, C++) into high-throughput microservices topologies (AWS Fargate, EKS, Kafka, Istio Service Mesh). Demonstrated record of aligning C-suite strategic visions with cross-functional technical blueprints, resulting in measurable infrastructure cost reductions, faster feature delivery, and regulatory compliance.</w:t>
      </w:r>
    </w:p>
    <w:p>
      <w:pPr>
        <w:keepNext/>
        <w:spacing w:before="280" w:after="120"/>
        <w:pBdr>
          <w:bottom w:val="single" w:sz="12" w:space="4" w:color="102C57"/>
        </w:pBdr>
      </w:pPr>
      <w:r>
        <w:rPr>
          <w:rFonts w:ascii="Arial" w:hAnsi="Arial"/>
          <w:b/>
          <w:color w:val="102C57"/>
          <w:sz w:val="24"/>
        </w:rPr>
        <w:t>TECHNICAL LEADERSHIP &amp; CORE COMPETENCIES</w:t>
      </w:r>
    </w:p>
    <w:p>
      <w:pPr>
        <w:pStyle w:val="ListBullet"/>
        <w:spacing w:after="40" w:before="0"/>
      </w:pPr>
      <w:r>
        <w:rPr>
          <w:b/>
          <w:color w:val="1E1E1E"/>
        </w:rPr>
        <w:t xml:space="preserve">Strategic Architecture: </w:t>
      </w:r>
      <w:r>
        <w:t>Domain-Driven Design (DDD), Distributed System Blueprints, Anti-Corruption Layers (ACL), Architecture Decision Records (ADRs), High-Throughput System Design.</w:t>
      </w:r>
    </w:p>
    <w:p>
      <w:pPr>
        <w:pStyle w:val="ListBullet"/>
        <w:spacing w:after="40" w:before="0"/>
      </w:pPr>
      <w:r>
        <w:rPr>
          <w:b/>
          <w:color w:val="1E1E1E"/>
        </w:rPr>
        <w:t xml:space="preserve">Cloud &amp; Containerization: </w:t>
      </w:r>
      <w:r>
        <w:t>AWS (Fargate, Lambda, EKS, EC2, Aurora, S3, IAM, KMS), Google Cloud Platform (GCP), Azure Cloud, Service Mesh (Istio), Docker, Kubernetes Engine (AKS/GKE).</w:t>
      </w:r>
    </w:p>
    <w:p>
      <w:pPr>
        <w:pStyle w:val="ListBullet"/>
        <w:spacing w:after="40" w:before="0"/>
      </w:pPr>
      <w:r>
        <w:rPr>
          <w:b/>
          <w:color w:val="1E1E1E"/>
        </w:rPr>
        <w:t xml:space="preserve">Event &amp; Data Orchestration: </w:t>
      </w:r>
      <w:r>
        <w:t>Apache Kafka, Event-Carried State Transfer, Canonical Schema Design, Asynchronous Message Queues, Elasticsearch, PostgreSQL, Oracle, MongoDB, DB2, VSAM.</w:t>
      </w:r>
    </w:p>
    <w:p>
      <w:pPr>
        <w:pStyle w:val="ListBullet"/>
        <w:spacing w:after="40" w:before="0"/>
      </w:pPr>
      <w:r>
        <w:rPr>
          <w:b/>
          <w:color w:val="1E1E1E"/>
        </w:rPr>
        <w:t xml:space="preserve">Legacy Transformation: </w:t>
      </w:r>
      <w:r>
        <w:t>Mainframe Re-engineering, COBOL, JCL, MVS Assembler Modules, CGI CACS Operations, C++ Monolith Decoupling, Data Lineage &amp; Referential Reconciliation.</w:t>
      </w:r>
    </w:p>
    <w:p>
      <w:pPr>
        <w:pStyle w:val="ListBullet"/>
        <w:spacing w:after="40" w:before="0"/>
      </w:pPr>
      <w:r>
        <w:rPr>
          <w:b/>
          <w:color w:val="1E1E1E"/>
        </w:rPr>
        <w:t xml:space="preserve">Enterprise Tooling &amp; DevSecOps: </w:t>
      </w:r>
      <w:r>
        <w:t>Terraform, Harness Pipelines, Jenkins Core Platform, GitHub Workflows, Dynatrace, Datadog, CloudWatch, CMDB Governance, LeanIX Architecture Mapping, MEND Remediation.</w:t>
      </w:r>
    </w:p>
    <w:p>
      <w:pPr>
        <w:keepNext/>
        <w:spacing w:before="280" w:after="120"/>
        <w:pBdr>
          <w:bottom w:val="single" w:sz="12" w:space="4" w:color="102C57"/>
        </w:pBdr>
      </w:pPr>
      <w:r>
        <w:rPr>
          <w:rFonts w:ascii="Arial" w:hAnsi="Arial"/>
          <w:b/>
          <w:color w:val="102C57"/>
          <w:sz w:val="24"/>
        </w:rPr>
        <w:t>PROFESSIONAL EXPERIENCE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Senior Software Architect</w:t>
      </w:r>
      <w:r>
        <w:t xml:space="preserve">  |  </w:t>
      </w:r>
      <w:r>
        <w:rPr>
          <w:b/>
          <w:color w:val="505050"/>
        </w:rPr>
        <w:t>Prophecy Technologies</w:t>
      </w:r>
      <w:r>
        <w:t xml:space="preserve"> (Client: Toyota Financial Service / Vendor: TCS)</w:t>
      </w:r>
      <w:r>
        <w:tab/>
        <w:t>Jan 2026 – Present</w:t>
      </w:r>
    </w:p>
    <w:p>
      <w:pPr>
        <w:pStyle w:val="ListBullet"/>
        <w:spacing w:after="60" w:before="0"/>
      </w:pPr>
      <w:r>
        <w:rPr>
          <w:b/>
        </w:rPr>
        <w:t>Architected Greenfield Blueprint:</w:t>
      </w:r>
      <w:r>
        <w:t xml:space="preserve"> Defined the enterprise transformation map and domain boundaries to safely decommission a monolithic Salesforce Title System of Record (SOR), replacing it with a cloud-native microservices platform on AWS Fargate.</w:t>
      </w:r>
    </w:p>
    <w:p>
      <w:pPr>
        <w:pStyle w:val="ListBullet"/>
        <w:spacing w:after="60" w:before="0"/>
      </w:pPr>
      <w:r>
        <w:rPr>
          <w:b/>
        </w:rPr>
        <w:t>Event-Driven Orchestration:</w:t>
      </w:r>
      <w:r>
        <w:t xml:space="preserve"> Engineered an enterprise event bus topology leveraging Apache Kafka for cross-domain event-carried state transfer, which compressed customer request turnaround times by 35%.</w:t>
      </w:r>
    </w:p>
    <w:p>
      <w:pPr>
        <w:pStyle w:val="ListBullet"/>
        <w:spacing w:after="60" w:before="0"/>
      </w:pPr>
      <w:r>
        <w:rPr>
          <w:b/>
        </w:rPr>
        <w:t>Asynchronous Vendor Integrations:</w:t>
      </w:r>
      <w:r>
        <w:t xml:space="preserve"> Reduced legacy external vendor processing delays and DMV interaction friction by 50% using asynchronous integration contracts, automated schema validations, and automated exception handlers.</w:t>
      </w:r>
    </w:p>
    <w:p>
      <w:pPr>
        <w:pStyle w:val="ListBullet"/>
        <w:spacing w:after="60" w:before="0"/>
      </w:pPr>
      <w:r>
        <w:rPr>
          <w:b/>
        </w:rPr>
        <w:t>Domain-Driven Design (DDD):</w:t>
      </w:r>
      <w:r>
        <w:t xml:space="preserve"> Established bounded contexts, aggregate definitions, and strict Anti-Corruption Layers (ACL) to cleanly separate functional domains including perfection, release, charge-off, and insurance liquidation workflows.</w:t>
      </w:r>
    </w:p>
    <w:p>
      <w:pPr>
        <w:pStyle w:val="ListBullet"/>
        <w:spacing w:after="60" w:before="0"/>
      </w:pPr>
      <w:r>
        <w:rPr>
          <w:b/>
        </w:rPr>
        <w:t>Intelligent Document Processing:</w:t>
      </w:r>
      <w:r>
        <w:t xml:space="preserve"> Integrated deep-learning-powered OCR microservices inside the core cloud ingestion pipelines to automate handwritten documentation validation, signature matching, and fraud protection workflows.</w:t>
      </w:r>
    </w:p>
    <w:p>
      <w:pPr>
        <w:pStyle w:val="ListBullet"/>
        <w:spacing w:after="60" w:before="0"/>
      </w:pPr>
      <w:r>
        <w:rPr>
          <w:b/>
        </w:rPr>
        <w:t>Architecture Governance Asset Control:</w:t>
      </w:r>
      <w:r>
        <w:t xml:space="preserve"> Authored enterprise-grade architectural design patterns, comprehensive end-to-end integration blueprints, sequence flows, and formal Architecture Decision Records (ADRs) to guarantee cross-team implementation alignment.</w:t>
      </w:r>
    </w:p>
    <w:p>
      <w:pPr>
        <w:pStyle w:val="ListBullet"/>
        <w:spacing w:after="60" w:before="0"/>
      </w:pPr>
      <w:r>
        <w:rPr>
          <w:b/>
        </w:rPr>
        <w:t>Enterprise Compliance Alignment:</w:t>
      </w:r>
      <w:r>
        <w:t xml:space="preserve"> Partnered directly with C-suite product stakeholders, risk management, and federal regulatory alignment teams to guide structural blueprints matching enterprise tooling frameworks (LeanIX, CMDB, Harness pipelines, Dynatrace).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Senior Enterprise Software Architect</w:t>
      </w:r>
      <w:r>
        <w:t xml:space="preserve">  |  </w:t>
      </w:r>
      <w:r>
        <w:rPr>
          <w:b/>
          <w:color w:val="505050"/>
        </w:rPr>
        <w:t>Orien Solutions</w:t>
      </w:r>
      <w:r>
        <w:t xml:space="preserve"> (Clients: Navy Federal Credit Union &amp; Dow Jones)</w:t>
      </w:r>
      <w:r>
        <w:tab/>
        <w:t>Nov 2024 – Dec 2025</w:t>
      </w:r>
    </w:p>
    <w:p>
      <w:pPr>
        <w:pStyle w:val="ListBullet"/>
        <w:spacing w:after="60" w:before="0"/>
      </w:pPr>
      <w:r>
        <w:rPr>
          <w:b/>
        </w:rPr>
        <w:t>Navy Federal Project (Oct 2025 – Dec 2025) – Core Modernization Strategy:</w:t>
      </w:r>
      <w:r>
        <w:t xml:space="preserve"> Spearheaded the risk assessment and migration map of the enterprise lending collections platform, upgrading an on-premises CGI CACS monolith into a cloud-native CACS X microservices infrastructure.</w:t>
      </w:r>
    </w:p>
    <w:p>
      <w:pPr>
        <w:pStyle w:val="ListBullet"/>
        <w:spacing w:after="60" w:before="0"/>
      </w:pPr>
      <w:r>
        <w:rPr>
          <w:b/>
        </w:rPr>
        <w:t>Legacy Refactoring Analysis:</w:t>
      </w:r>
      <w:r>
        <w:t xml:space="preserve"> Successfully reverse-engineered legacy Mainframe COBOL/JCL modules and complex batch cycle flows (including the critical CAC220 processing engine) into secure web APIs.</w:t>
      </w:r>
    </w:p>
    <w:p>
      <w:pPr>
        <w:pStyle w:val="ListBullet"/>
        <w:spacing w:after="60" w:before="0"/>
      </w:pPr>
      <w:r>
        <w:rPr>
          <w:b/>
        </w:rPr>
        <w:t>Transactional Data Reconciliation:</w:t>
      </w:r>
      <w:r>
        <w:t xml:space="preserve"> Formulated gap analyses and schema conversions covering multi-million record lending lines (Consumer ALS, Credit Card TSYS, Student Loans) to ensure total referential integrity across the data plane during transition.</w:t>
      </w:r>
    </w:p>
    <w:p>
      <w:pPr>
        <w:pStyle w:val="ListBullet"/>
        <w:spacing w:after="60" w:before="0"/>
      </w:pPr>
      <w:r>
        <w:rPr>
          <w:b/>
        </w:rPr>
        <w:t>Dow Jones Project (Nov 2024 – Oct 2025) – Factiva Platform Evolution:</w:t>
      </w:r>
      <w:r>
        <w:t xml:space="preserve"> Directed the systemic cloud migration of the flagship global business intelligence engine 'Factiva' out of legacy C++ modules into a scalable Java microservices layout.</w:t>
      </w:r>
    </w:p>
    <w:p>
      <w:pPr>
        <w:pStyle w:val="ListBullet"/>
        <w:spacing w:after="60" w:before="0"/>
      </w:pPr>
      <w:r>
        <w:rPr>
          <w:b/>
        </w:rPr>
        <w:t>Cloud Cost Containment:</w:t>
      </w:r>
      <w:r>
        <w:t xml:space="preserve"> Designed the infrastructure footprint on AWS (EKS, Lambda, Aurora PostgreSQL), delivering an immediate 30% reduction in underlying operational costs and 40% faster deployment velocity.</w:t>
      </w:r>
    </w:p>
    <w:p>
      <w:pPr>
        <w:pStyle w:val="ListBullet"/>
        <w:spacing w:after="60" w:before="0"/>
      </w:pPr>
      <w:r>
        <w:rPr>
          <w:b/>
        </w:rPr>
        <w:t>Service Mesh Infrastructure Optimization:</w:t>
      </w:r>
      <w:r>
        <w:t xml:space="preserve"> Deployed and tuned an enterprise Istio Service Mesh, achieving a 50% reduction in platform downtime, boosting query processing efficiency by 35% through optimized database layers and Elasticsearch configurations.</w:t>
      </w:r>
    </w:p>
    <w:p>
      <w:pPr>
        <w:pStyle w:val="ListBullet"/>
        <w:spacing w:after="60" w:before="0"/>
      </w:pPr>
      <w:r>
        <w:rPr>
          <w:b/>
        </w:rPr>
        <w:t>Observability and Compliance Architecture:</w:t>
      </w:r>
      <w:r>
        <w:t xml:space="preserve"> Architected Datadog and CloudWatch frameworks that compressed system MTTR by 60% while maintaining full GDPR and PCI-DSS data compliance utilizing specialized encryption via AWS KMS.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Senior Java Software Developer &amp; Architect Consultant</w:t>
      </w:r>
      <w:r>
        <w:t xml:space="preserve">  |  </w:t>
      </w:r>
      <w:r>
        <w:rPr>
          <w:b/>
          <w:color w:val="505050"/>
        </w:rPr>
        <w:t>Mastech Digital</w:t>
      </w:r>
      <w:r>
        <w:t xml:space="preserve"> (Client: Fidelity Investments)</w:t>
      </w:r>
      <w:r>
        <w:tab/>
        <w:t>Jun 2022 – Sep 2024</w:t>
      </w:r>
    </w:p>
    <w:p>
      <w:pPr>
        <w:pStyle w:val="ListBullet"/>
        <w:spacing w:after="60" w:before="0"/>
      </w:pPr>
      <w:r>
        <w:rPr>
          <w:b/>
        </w:rPr>
        <w:t>Architecture Review Boards:</w:t>
      </w:r>
      <w:r>
        <w:t xml:space="preserve"> Contributed to corporate Architecture Review Boards, championing reusable code stubs and driving structural adjustments to mitigate technical debt across Workplace Investing pipelines.</w:t>
      </w:r>
    </w:p>
    <w:p>
      <w:pPr>
        <w:pStyle w:val="ListBullet"/>
        <w:spacing w:after="60" w:before="0"/>
      </w:pPr>
      <w:r>
        <w:rPr>
          <w:b/>
        </w:rPr>
        <w:t>Strategic Cost Avoidance POC:</w:t>
      </w:r>
      <w:r>
        <w:t xml:space="preserve"> Engineered a production-grade custom toolkit prototype for PDF conversions that replaced proprietary Adobe enterprise APIs with open-source frameworks, yielding $200K in recurring annual licensing savings.</w:t>
      </w:r>
    </w:p>
    <w:p>
      <w:pPr>
        <w:pStyle w:val="ListBullet"/>
        <w:spacing w:after="60" w:before="0"/>
      </w:pPr>
      <w:r>
        <w:rPr>
          <w:b/>
        </w:rPr>
        <w:t>Lifecycle Governance &amp; Upgrade Paths:</w:t>
      </w:r>
      <w:r>
        <w:t xml:space="preserve"> Led migration blueprints for enterprise source control repositories from Bitbucket to GitHub while upgrading End-of-Life (EOL) dependencies to eliminate platform compliance violations.</w:t>
      </w:r>
    </w:p>
    <w:p>
      <w:pPr>
        <w:pStyle w:val="ListBullet"/>
        <w:spacing w:after="60" w:before="0"/>
      </w:pPr>
      <w:r>
        <w:rPr>
          <w:b/>
        </w:rPr>
        <w:t>Legacy Protocol Evolution:</w:t>
      </w:r>
      <w:r>
        <w:t xml:space="preserve"> Transformed fragile SOAP web patterns into clean, production-grade REST APIs, significantly lowering latency for Plan Sponsor web engines.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Consultant Technical Lead &amp; Architect</w:t>
      </w:r>
      <w:r>
        <w:t xml:space="preserve">  |  </w:t>
      </w:r>
      <w:r>
        <w:rPr>
          <w:b/>
          <w:color w:val="505050"/>
        </w:rPr>
        <w:t>Walgreens</w:t>
      </w:r>
      <w:r>
        <w:tab/>
        <w:t>Dec 2021 – Jun 2022</w:t>
      </w:r>
    </w:p>
    <w:p>
      <w:pPr>
        <w:pStyle w:val="ListBullet"/>
        <w:spacing w:after="60" w:before="0"/>
      </w:pPr>
      <w:r>
        <w:rPr>
          <w:b/>
        </w:rPr>
        <w:t>Distributed Cloud-Native Delivery:</w:t>
      </w:r>
      <w:r>
        <w:t xml:space="preserve"> Directed onshore/offshore execution squads to assemble a resilient, event-driven vaccine management platform on Microsoft Azure (AKS, Service Bus, Docker).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Cloud Native Developer</w:t>
      </w:r>
      <w:r>
        <w:t xml:space="preserve">  |  </w:t>
      </w:r>
      <w:r>
        <w:rPr>
          <w:b/>
          <w:color w:val="505050"/>
        </w:rPr>
        <w:t>Keurig Dr. Pepper</w:t>
      </w:r>
      <w:r>
        <w:tab/>
        <w:t>Sep 2021 – Nov 2021</w:t>
      </w:r>
    </w:p>
    <w:p>
      <w:pPr>
        <w:pStyle w:val="ListBullet"/>
        <w:spacing w:after="60" w:before="0"/>
      </w:pPr>
      <w:r>
        <w:rPr>
          <w:b/>
        </w:rPr>
        <w:t>High-Availability Systems Integration:</w:t>
      </w:r>
      <w:r>
        <w:t xml:space="preserve"> Designed API gateway distributions via Spring Eureka and NGINX on Google Cloud Platform (GCP) for high-frequency direct B2B telesales platforms.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Technology Lead – Insurance Administration Platform</w:t>
      </w:r>
      <w:r>
        <w:t xml:space="preserve">  |  </w:t>
      </w:r>
      <w:r>
        <w:rPr>
          <w:b/>
          <w:color w:val="505050"/>
        </w:rPr>
        <w:t>Infosys McCamish</w:t>
      </w:r>
      <w:r>
        <w:tab/>
        <w:t>Jun 2020 – Jul 2021</w:t>
      </w:r>
    </w:p>
    <w:p>
      <w:pPr>
        <w:pStyle w:val="ListBullet"/>
        <w:spacing w:after="60" w:before="0"/>
      </w:pPr>
      <w:r>
        <w:rPr>
          <w:b/>
        </w:rPr>
        <w:t>Mainframe Migration Engineering:</w:t>
      </w:r>
      <w:r>
        <w:t xml:space="preserve"> Led extraction scripts and data validation protocols to migrate highly dense legacy insurance ledger file systems (DB2, VSAM) into modern OpenEdge ecosystems.</w:t>
      </w:r>
    </w:p>
    <w:p>
      <w:pPr>
        <w:keepNext/>
        <w:tabs>
          <w:tab w:pos="9360" w:val="right"/>
        </w:tabs>
        <w:spacing w:before="160" w:after="40"/>
      </w:pPr>
      <w:r>
        <w:rPr>
          <w:b/>
          <w:color w:val="102C57"/>
          <w:sz w:val="22"/>
        </w:rPr>
        <w:t>System Programmer Analyst &amp; Project Lead</w:t>
      </w:r>
      <w:r>
        <w:t xml:space="preserve">  |  </w:t>
      </w:r>
      <w:r>
        <w:rPr>
          <w:b/>
          <w:color w:val="505050"/>
        </w:rPr>
        <w:t>DXC Technology (CSC)</w:t>
      </w:r>
      <w:r>
        <w:t xml:space="preserve"> (Client: Allstate)</w:t>
      </w:r>
      <w:r>
        <w:tab/>
        <w:t>Apr 2012 – Jun 2020</w:t>
      </w:r>
    </w:p>
    <w:p>
      <w:pPr>
        <w:pStyle w:val="ListBullet"/>
        <w:spacing w:after="60" w:before="0"/>
      </w:pPr>
      <w:r>
        <w:rPr>
          <w:b/>
        </w:rPr>
        <w:t>Onsite Delivery Management:</w:t>
      </w:r>
      <w:r>
        <w:t xml:space="preserve"> Managed corporate accounts and onshore execution groups, serving as primary tactical architect bridging Allstate IT leadership with off-shore delivery milestones.</w:t>
      </w:r>
    </w:p>
    <w:p>
      <w:pPr>
        <w:spacing w:before="120" w:after="40"/>
      </w:pPr>
      <w:r>
        <w:rPr>
          <w:b/>
          <w:color w:val="505050"/>
          <w:sz w:val="20"/>
        </w:rPr>
        <w:t>EARLIER CAREER EXPERIENCE (Details available upon request)</w:t>
      </w:r>
    </w:p>
    <w:p>
      <w:pPr>
        <w:pStyle w:val="ListBullet"/>
        <w:spacing w:after="60" w:before="0"/>
      </w:pPr>
      <w:r>
        <w:t>Technology Analyst at Infosys (2011–2012): Led Mainframe re-engineering maps from Assembler and COBOL to Unix platforms.</w:t>
      </w:r>
    </w:p>
    <w:p>
      <w:pPr>
        <w:pStyle w:val="ListBullet"/>
        <w:spacing w:after="60" w:before="0"/>
      </w:pPr>
      <w:r>
        <w:t>Senior Software Engineer at Accenture (2010–2011): Re-architected Mainframe banking configurations into scalable SOA patterns.</w:t>
      </w:r>
    </w:p>
    <w:p>
      <w:pPr>
        <w:pStyle w:val="ListBullet"/>
        <w:spacing w:after="60" w:before="0"/>
      </w:pPr>
      <w:r>
        <w:t>Associate / Team Lead at Cognizant (2006–2010): Managed technical enhancements for First Data credit card operations on core systems.</w:t>
      </w:r>
    </w:p>
    <w:p>
      <w:pPr>
        <w:keepNext/>
        <w:spacing w:before="280" w:after="120"/>
        <w:pBdr>
          <w:bottom w:val="single" w:sz="12" w:space="4" w:color="102C57"/>
        </w:pBdr>
      </w:pPr>
      <w:r>
        <w:rPr>
          <w:rFonts w:ascii="Arial" w:hAnsi="Arial"/>
          <w:b/>
          <w:color w:val="102C57"/>
          <w:sz w:val="24"/>
        </w:rPr>
        <w:t>EDUCATION &amp; PROFESSIONAL CREDENTIALS</w:t>
      </w:r>
    </w:p>
    <w:p>
      <w:pPr>
        <w:spacing w:after="40"/>
      </w:pPr>
      <w:r>
        <w:rPr>
          <w:b/>
        </w:rPr>
        <w:t>Master of Technology (M.Tech) in Information Technology</w:t>
      </w:r>
      <w:r>
        <w:t xml:space="preserve"> — Calcutta University</w:t>
      </w:r>
    </w:p>
    <w:p>
      <w:pPr>
        <w:spacing w:after="40"/>
      </w:pPr>
      <w:r>
        <w:rPr>
          <w:b/>
        </w:rPr>
        <w:t>Certifications &amp; Distinctions:</w:t>
      </w:r>
      <w:r>
        <w:br/>
        <w:t>• Semifinalist — O'Reilly's Worldwide Architecture Kata (Winter 2025 Challenge)</w:t>
      </w:r>
      <w:r>
        <w:br/>
        <w:t>• TOGAF™ Enterprise Architecture Foundation Certified (The Open Group, Aug 2025)</w:t>
      </w:r>
      <w:r>
        <w:br/>
        <w:t>• Certified Enterprise Architect Professional (The Knowledge Academy, Jul 2025)</w:t>
      </w:r>
      <w:r>
        <w:br/>
        <w:t>• DDD Distilled (O'Reilly, Jan 2026)</w:t>
      </w:r>
      <w:r>
        <w:br/>
        <w:t>• Keynote — ICICAEAS 2025: Best Practices for Migrating Monoliths to Microservices on Cloud Platforms</w:t>
      </w:r>
      <w:r>
        <w:br/>
        <w:t>• Full-Stack Web Development Post-Graduate Credential (Georgia Institute of Technology)</w:t>
      </w:r>
      <w:r>
        <w:br/>
        <w:t>• Python Machine Learning and Internet of Things (IoT) Specialist Certification (Cognixia)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E1E1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